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1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Об издательско-просветительской деятельности архивной 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jc w:val="center"/>
        <w:spacing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службы Удмуртии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в среднесрочной ретроспективе и перспективе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   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spacing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      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spacing w:line="240" w:lineRule="auto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  </w:t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Издательская и просветительская деятельность всегда занимала важное место в деятельности архивной службы Удмуртской Республики.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Ввод в научный и общественный оборот архивных источников </w:t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посредством подготовки документальных сборников и справочников предпринимался архивистами Удмуртии еще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конца 50-х годов ХХ в. В прошлом столетии вышло в свет более 30 подобных изданий. </w:t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pStyle w:val="832"/>
        <w:jc w:val="both"/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   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настоящее время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издательская работа строится в рамках реализации Перспективных планов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подготовки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документальных публикаций и справочно-информационных изданий архивных учреждений Удмуртской Республики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Пристальное внимание  вопросам научной публикации докуме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тов, обсуждению рукописей сборников уделяется на заседаниях 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учного совета Комитета по делам  архивов при Правительстве Удмуртской Республики. Совет возглавляет председатель 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митета,  в его состав, наряду с руководителями государственных архивов и Комитета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входят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специалисты ведущих научно-исследовательских учреждений республики. Ученые принимают участие в издательской деятельности архивистов в качес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ве научных редакторов, рецензентов и консультантов.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2"/>
        <w:jc w:val="both"/>
        <w:spacing w:line="240" w:lineRule="auto"/>
        <w:rPr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числе значимых издательских проектов конца 1990 - начала 2000-х гг. следует отметить серию сборников «История городов Удмуртии» (1984-2010), 2-томную Хрестоматию по истории Удмуртии (2007)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 и др.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условиях тотальной цифровизации документальных источников архивисты Удмуртии обратились </w:t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электронной форме издания документов.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2010 и 2015 гг. с 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елью популяризации истории края в годы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Великой Отечественной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войны с </w:t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использование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инновационных технологий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были подготовлены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ультимедийных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сборника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jc w:val="both"/>
        <w:spacing w:line="240" w:lineRule="auto"/>
        <w:tabs>
          <w:tab w:val="left" w:pos="3420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          В последнее десятилетие специалистами архивистами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издано 6 сборников документов.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Драматические события 1917-1919 гг. предстают в 2-х изданиях </w:t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8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(«1917 год в истории  Удмуртии» (2017) и «Удмуртия в годы Гражданской войны. 1918-1919 гг.» (2023)), в которых опубликовано  738 до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кументов из фондов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государственных, муниципальных и ведомственных архивов Удмуртии (в т.ч. архива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Управления ФСБ России по Удмуртии)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а также из фондов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федеральных архивов и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государственных архивов других регионов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9"/>
        <w:jc w:val="both"/>
        <w:spacing w:line="240" w:lineRule="auto"/>
        <w:tabs>
          <w:tab w:val="left" w:pos="3420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       </w:t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9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сборнике «На началах самоопределения... К 100-летию государственности Удмуртии» (2020) содержится 102 протокола первых удмуртских съездов, конференций,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общих собраний и сходов граждан,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аседаний национальных, советских и партийных органов, общественных организаций в 1917-1921 гг. В этих материалах находит отражение процесс реализации права удмуртского народа на самоопределение, завершившийся в 1920 г. созданием Вотской автономной области.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9"/>
        <w:jc w:val="both"/>
        <w:spacing w:line="240" w:lineRule="auto"/>
        <w:tabs>
          <w:tab w:val="left" w:pos="3420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   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    </w:t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10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100-летию ВЛКСМ посвящен сборник «Из истории Удмуртской областной комсомоль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ской организации. 1918-1991 гг.» (2018), в котором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233 документах из фондов Государственного архива общественно-политической истории составители преследовали цель объективно отразить этапы  исторического пути республиканской организации ВЛКСМ на фоне общественно-политических процессов советского периода.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9"/>
        <w:jc w:val="both"/>
        <w:spacing w:line="240" w:lineRule="auto"/>
        <w:tabs>
          <w:tab w:val="left" w:pos="3420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     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    </w:t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1</w:t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2024 г. с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воеобразное продолжение полу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чила серия сборников по истории населенных пунктов республики: специалистами муниципального архива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впервые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был издан сборник «Ува. Документы и материалы. 1924-2024», в который вошло 434 документа из фондов государственных и ведомственных архивов республики.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9"/>
        <w:jc w:val="both"/>
        <w:spacing w:line="240" w:lineRule="auto"/>
        <w:tabs>
          <w:tab w:val="left" w:pos="3420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     </w:t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1</w:t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Данные издания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являются тематическими сборниками в основном научно-популярного типа (исключение составляет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сборник научного типа «На началах самоопределения...»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), подготовка которых осуществлялась в соответствии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 «Методическими рекомендациями по публикации архивных документов в печатном виде» (М., 2022), а также «Правилами издания исторических документов в СССР» (1990). </w:t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13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радиционно уделяется внимание высокому уровню археографического оформления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и передачи текстов публикуемых документов. Публикация источников в извлечениях сопровождается указанием на содержание опущенных частей документов в примечаниях по тексту, все неисправности текстов подлинников также оговариваются в текстуальных примечаниях.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14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Все издания имеют разветвленный научно-справочный аппарат, включающий историческое и археографическое предисловия,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примечания по тексту и  содержанию, список сокращений,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перечни публикуемых документов и использ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ованных источников,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именной, географический, предметный указатели, хронику событий, терминологический словарь, обширные и содержательные приложения по теме издания и др.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9"/>
        <w:jc w:val="both"/>
        <w:spacing w:line="240" w:lineRule="auto"/>
        <w:tabs>
          <w:tab w:val="left" w:pos="3420" w:leader="none"/>
        </w:tabs>
        <w:rPr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       </w:t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15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К 100-летию со дня рождения всемирно известного конс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труктора стрелкового оружия М.Т. Калашникова в 2019 г. был выпущен в свет мультимедийный сборник «Оружейник мира», в котором содержатся электронные образы 331 документа (в т.ч. аудиовизуальных) о биографии, жизни и деятельности Михаила Тимофеевича, </w:t>
      </w:r>
      <w:r>
        <w:rPr>
          <w:rFonts w:ascii="Times New Roman" w:hAnsi="Times New Roman"/>
          <w:sz w:val="28"/>
          <w:szCs w:val="28"/>
        </w:rPr>
        <w:t xml:space="preserve">разработке </w:t>
      </w:r>
      <w:r>
        <w:rPr>
          <w:rFonts w:ascii="Times New Roman" w:hAnsi="Times New Roman"/>
          <w:sz w:val="28"/>
          <w:szCs w:val="28"/>
        </w:rPr>
        <w:t xml:space="preserve">образцов стрелкового оружия.</w:t>
      </w:r>
      <w:r>
        <w:rPr>
          <w:highlight w:val="none"/>
        </w:rPr>
      </w:r>
      <w:r>
        <w:rPr>
          <w:highlight w:val="none"/>
        </w:rPr>
      </w:r>
    </w:p>
    <w:p>
      <w:pPr>
        <w:pStyle w:val="839"/>
        <w:jc w:val="both"/>
        <w:spacing w:line="240" w:lineRule="auto"/>
        <w:tabs>
          <w:tab w:val="left" w:pos="3420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highlight w:val="none"/>
        </w:rPr>
        <w:t xml:space="preserve">         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16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2025 г. архивистами впервые был издан историко-биографический справочник «Оружейники Ижевска. 1919-2018 гг.», героями которого стали 66 констру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кторов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машиностроительного и механического заводов столицы Удмуртии – разработчики образцов боевого и гражданского стрелкового оружия. Биографическая информация была составлена на основании документов государственных архивов.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9"/>
        <w:jc w:val="both"/>
        <w:spacing w:line="240" w:lineRule="auto"/>
        <w:tabs>
          <w:tab w:val="left" w:pos="3420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       </w:t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17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2026 г.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эта тема истории развития оружейного производства в Удмуртии получила свое продолжение – в планируемом к выпуску с</w:t>
      </w:r>
      <w:r>
        <w:rPr>
          <w:rFonts w:ascii="PT Astra Serif" w:hAnsi="PT Astra Serif"/>
          <w:sz w:val="28"/>
          <w:szCs w:val="28"/>
        </w:rPr>
        <w:t xml:space="preserve">борнике документов «Совершенно несекретно. Оборонные предприятия Удмуртской АССР в рассекреченных архивных документах. 1937-1955 гг.». В новом издании в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первые найдет ц</w:t>
      </w:r>
      <w:r>
        <w:rPr>
          <w:rFonts w:ascii="PT Astra Serif" w:hAnsi="PT Astra Serif"/>
          <w:sz w:val="28"/>
          <w:szCs w:val="28"/>
        </w:rPr>
        <w:t xml:space="preserve">еленаправленное освещение история развития оборонной промышленности Удмуртии</w:t>
      </w:r>
      <w:r>
        <w:rPr>
          <w:rFonts w:ascii="PT Astra Serif" w:hAnsi="PT Astra Serif"/>
          <w:sz w:val="28"/>
          <w:szCs w:val="28"/>
        </w:rPr>
        <w:t xml:space="preserve">, к </w:t>
      </w:r>
      <w:r>
        <w:rPr>
          <w:rFonts w:ascii="PT Astra Serif" w:hAnsi="PT Astra Serif"/>
          <w:sz w:val="28"/>
          <w:szCs w:val="28"/>
          <w:highlight w:val="none"/>
        </w:rPr>
        <w:t xml:space="preserve">публикации отобраны </w:t>
      </w:r>
      <w:r>
        <w:rPr>
          <w:rFonts w:ascii="PT Astra Serif" w:hAnsi="PT Astra Serif"/>
          <w:sz w:val="28"/>
          <w:szCs w:val="28"/>
        </w:rPr>
        <w:t xml:space="preserve">ранее недоступные пользователям архивные материалы, имевшие различные грифы секретности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текущем году рукопись сборника стала победителем грантового конкурса </w:t>
      </w:r>
      <w:r>
        <w:rPr>
          <w:rFonts w:ascii="PT Astra Serif" w:hAnsi="PT Astra Serif"/>
          <w:sz w:val="28"/>
          <w:szCs w:val="28"/>
        </w:rPr>
        <w:t xml:space="preserve">Фонда «История Отечества».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В ближайшей перспективе также издание сборника документов по истории частно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го предпринимательства в Удмуртии в начале ХХ в.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9"/>
        <w:jc w:val="both"/>
        <w:spacing w:line="240" w:lineRule="auto"/>
        <w:tabs>
          <w:tab w:val="left" w:pos="3420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       </w:t>
      </w:r>
      <w:r>
        <w:rPr>
          <w:rFonts w:ascii="PT Astra Serif" w:hAnsi="PT Astra Serif" w:eastAsia="PT Astra Serif" w:cs="PT Astra Serif"/>
          <w:sz w:val="32"/>
          <w:szCs w:val="32"/>
          <w:highlight w:val="none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18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К ю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билею Победы в 2025 г. специалистами архивной службы республики была организована </w:t>
      </w:r>
      <w:r>
        <w:rPr>
          <w:rFonts w:ascii="PT Astra Serif" w:hAnsi="PT Astra Serif"/>
          <w:sz w:val="28"/>
          <w:szCs w:val="28"/>
        </w:rPr>
        <w:t xml:space="preserve">Международной научно-практическая конференция «Великая Отечественная война: взгляд из ХХI века</w:t>
      </w:r>
      <w:r>
        <w:rPr>
          <w:rFonts w:ascii="PT Astra Serif" w:hAnsi="PT Astra Serif"/>
          <w:b/>
          <w:bCs/>
          <w:sz w:val="28"/>
          <w:szCs w:val="28"/>
        </w:rPr>
        <w:t xml:space="preserve">»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(1</w:t>
      </w:r>
      <w:r>
        <w:rPr>
          <w:rFonts w:ascii="PT Astra Serif" w:hAnsi="PT Astra Serif"/>
          <w:sz w:val="28"/>
          <w:szCs w:val="28"/>
        </w:rPr>
        <w:t xml:space="preserve">0 апреля 2025 г.), издан </w:t>
      </w:r>
      <w:r>
        <w:rPr>
          <w:rFonts w:ascii="PT Astra Serif" w:hAnsi="PT Astra Serif"/>
          <w:sz w:val="28"/>
          <w:szCs w:val="28"/>
        </w:rPr>
        <w:t xml:space="preserve">сборник статей ее участников </w:t>
      </w:r>
      <w:r>
        <w:rPr>
          <w:rFonts w:ascii="PT Astra Serif" w:hAnsi="PT Astra Serif"/>
          <w:sz w:val="28"/>
          <w:szCs w:val="28"/>
        </w:rPr>
        <w:t xml:space="preserve">по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актуальным вопросам</w:t>
      </w:r>
      <w:r>
        <w:rPr>
          <w:rFonts w:ascii="PT Astra Serif" w:hAnsi="PT Astra Serif"/>
          <w:sz w:val="28"/>
          <w:szCs w:val="28"/>
        </w:rPr>
        <w:t xml:space="preserve"> истории войны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9"/>
        <w:jc w:val="both"/>
        <w:spacing w:line="240" w:lineRule="auto"/>
        <w:tabs>
          <w:tab w:val="left" w:pos="3420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      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Мощным средством воздействия на пользовательскую аудиторию служит выставочная деятельность архивов Удмуртии, которая в среднесрочной ретроспективе пережила революционную трансформацию. </w:t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19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Наряду с подготовкой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многочисленных традиционных экспозиций в читальных залах архивов, Государственном Совете Удмуртии, Государственном театре оперы и балета УР,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Доме дружбы народов,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на других площадках в ходе проведения различных мероприятий республиканского уровня, с 2019 г.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традицией ста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ла организация пе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редвижных выставочных проектов, презентации которых проводятся во всех 30-ти муниципальных образованиях республики, а также демонстрация выставок на уличном оборудовании в Сквере Победы у Вечного огня, на Центральной площади и в других локациях г. Ижевска.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Так, например, большой общественный резонанс в Удмуртии в последние г</w:t>
      </w:r>
      <w:r>
        <w:rPr>
          <w:rFonts w:ascii="Times New Roman" w:hAnsi="Times New Roman" w:cs="Times New Roman"/>
          <w:sz w:val="28"/>
          <w:szCs w:val="28"/>
        </w:rPr>
        <w:t xml:space="preserve">оды имели архивные выставки «Я с вами шел одной дорогой: </w:t>
      </w:r>
      <w:r>
        <w:rPr>
          <w:sz w:val="28"/>
          <w:szCs w:val="28"/>
        </w:rPr>
        <w:t xml:space="preserve">М.Т. Калашников в архивных документах</w:t>
      </w:r>
      <w:r>
        <w:rPr>
          <w:rFonts w:ascii="Times New Roman" w:hAnsi="Times New Roman" w:cs="Times New Roman"/>
          <w:sz w:val="28"/>
          <w:szCs w:val="28"/>
        </w:rPr>
        <w:t xml:space="preserve"> (К 100-летию конструктора)» (2019),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«Удмуртия на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ZA</w:t>
      </w:r>
      <w:r>
        <w:rPr>
          <w:rFonts w:ascii="Times New Roman" w:hAnsi="Times New Roman" w:cs="Times New Roman"/>
          <w:sz w:val="28"/>
          <w:szCs w:val="28"/>
        </w:rPr>
        <w:t xml:space="preserve">_ЩИТе Родины. Герои, фронт, тыл» (2024),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«Удмуртия. Здесь ковалась Победа»</w:t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  <w:t xml:space="preserve"> (2025), «Ваш подвиг помнить будем вечно!» (2025)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др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21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Количество посетителей данных выставок исчисляется десятками тысяч человек, а передвижные экспозиции, посвященные 80-летию Победы, в 2025 г. посетили сотни тысяч</w:t>
      </w:r>
      <w:r>
        <w:rPr>
          <w:rFonts w:ascii="PT Astra Serif" w:hAnsi="PT Astra Serif"/>
          <w:sz w:val="28"/>
          <w:szCs w:val="28"/>
        </w:rPr>
        <w:t xml:space="preserve"> жителей республики.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В прошлом году также впервые была подготовлена </w:t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22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Международная передвижная выставка архивных документов «Удмуртия-Беларуси: братская помощь в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1941-1945 гг.», которая экспонировалась в Мемориальном комплексе «Брестская крепость-герой» (Республика Беларусь, г. Брест) в ходе мероприятий, посвященных установке мемориальной доски в память об уроженцах Удмуртии – защитниках Брестской крепости.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23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Ярким событием текущего года стала одновременная презентация во всех 30-ти городских и районных отделах ЗАГС республики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15 мая, в Международный день семьи,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архивного выставочного проекта «Свадебные и семейные традиции: история и современность».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PT Astra Serif" w:hAnsi="PT Astra Serif"/>
          <w:sz w:val="28"/>
          <w:szCs w:val="28"/>
        </w:rPr>
        <w:t xml:space="preserve">Осенью текущего года предполагается презентация в городах Удмуртской Республики новой передвижной экспозиции «Сохраним память о героях нашего времени!» (по материалам участников СВО), подготовленной также на средства Фонда «История Отечества».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24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Ни для кого не секрет, что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социальные сети предоставляют уникальные возможности для обмена информацией и взаимодействия со всем миром. Поэтому не случайно, что значительная часть просветительской работы архивистов Удмуртии связана с ведением 4-х аккаунтов в социальной сети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«ВКонтакте» и в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мессенджерах Мах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. 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spacing w:line="240" w:lineRule="auto"/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копилке дел сотрудни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ков архивов Удмуртии в рамках просветительской деятельности также выступления председателя Комитета по делам архивов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еженедельных </w:t>
      </w:r>
      <w:r>
        <w:rPr>
          <w:rFonts w:ascii="PT Astra Serif" w:hAnsi="PT Astra Serif" w:cs="Times New Roman"/>
          <w:sz w:val="28"/>
          <w:szCs w:val="28"/>
        </w:rPr>
        <w:t xml:space="preserve">совещаниях Главы Удмуртской Республики А.В. Бречалова с главами муниципальных образований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из цикла «Об архиважном» с историческими сюжетами, </w:t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26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лекции,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экскурсии и уроки для студентов и школьников, круглые столы,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презентации, дни открытых дверей. </w:t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27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 апреля 2026 г. на базе ЦГА УР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работает кружок для школьников «Моя родословная».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</w:p>
    <w:p>
      <w:pPr>
        <w:pStyle w:val="839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ja-JP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eastAsia="ja-JP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eastAsia="ja-JP"/>
        </w:rPr>
        <w:t xml:space="preserve">Как видим, издательско-просветительская деятельность архивов республики достаточно разнообразна и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eastAsia="ja-JP"/>
        </w:rPr>
        <w:t xml:space="preserve">многогранна, направлена 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поступательное развитие историографии России и Удмуртии и исторического просвещения населения. </w:t>
      </w:r>
      <w:r>
        <w:rPr>
          <w:rFonts w:ascii="PT Astra Serif" w:hAnsi="PT Astra Serif" w:eastAsia="PT Astra Serif" w:cs="PT Astra Serif"/>
          <w:b/>
          <w:bCs/>
          <w:sz w:val="40"/>
          <w:szCs w:val="40"/>
        </w:rPr>
        <w:t xml:space="preserve">28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eastAsia="ja-JP"/>
        </w:rPr>
        <w:t xml:space="preserve">В результате реализации издательских и выставочных проектов создан позитивный имидж архивной службы, наша информация и деятельность востребована и неизменно получает положительные отзывы.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ja-JP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ja-JP"/>
        </w:rPr>
      </w:r>
    </w:p>
    <w:p>
      <w:pPr>
        <w:pStyle w:val="839"/>
        <w:ind w:firstLine="0"/>
        <w:jc w:val="both"/>
        <w:spacing w:after="0" w:line="240" w:lineRule="auto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ja-JP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ja-JP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ja-JP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ja-JP"/>
        </w:rPr>
      </w:r>
    </w:p>
    <w:p>
      <w:pPr>
        <w:pStyle w:val="839"/>
        <w:ind w:firstLine="0"/>
        <w:jc w:val="both"/>
        <w:spacing w:after="0" w:line="240" w:lineRule="auto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ja-JP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ja-JP"/>
        </w:rPr>
        <w:t xml:space="preserve">Заместитель директора ГКУ «ЦГА УР» -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ja-JP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ja-JP"/>
        </w:rPr>
      </w:r>
    </w:p>
    <w:p>
      <w:pPr>
        <w:pStyle w:val="839"/>
        <w:ind w:firstLine="0"/>
        <w:jc w:val="both"/>
        <w:spacing w:after="0" w:line="240" w:lineRule="auto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ja-JP"/>
        </w:rPr>
        <w:t xml:space="preserve">руководитель ГАОПИ                                                                     Е.М. Ушакова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Symbol">
    <w:panose1 w:val="05010000000000000000"/>
  </w:font>
  <w:font w:name="Courier New">
    <w:panose1 w:val="02070409020205020404"/>
  </w:font>
  <w:font w:name="Tahoma">
    <w:panose1 w:val="020B0606040504020204"/>
  </w:font>
  <w:font w:name="Open Sans">
    <w:panose1 w:val="020B060603050402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DejaVu Sans">
    <w:panose1 w:val="020B0603030804020204"/>
  </w:font>
  <w:font w:name="Droid Sans">
    <w:panose1 w:val="020B0606030804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DejaVu Sans" w:cs="Droid Sans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2"/>
    <w:next w:val="832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2"/>
    <w:next w:val="832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List Paragraph"/>
    <w:basedOn w:val="832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2"/>
    <w:next w:val="832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2"/>
    <w:next w:val="832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2"/>
    <w:next w:val="832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2"/>
    <w:next w:val="832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character" w:styleId="689">
    <w:name w:val="Caption Char"/>
    <w:link w:val="841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Liberation Sans" w:hAnsi="Liberation Sans"/>
        <w:color w:val="1ebf04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1ebf0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1ebf0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Liberation Sans" w:hAnsi="Liberation Sans"/>
        <w:color w:val="0378ae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Liberation Sans" w:hAnsi="Liberation Sans"/>
        <w:color w:val="5e2201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e2201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e2201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Liberation Sans" w:hAnsi="Liberation Sans"/>
        <w:color w:val="9104ab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Liberation Sans" w:hAnsi="Liberation Sans"/>
        <w:color w:val="745700" w:themeColor="accent5" w:themeShade="95"/>
        <w:sz w:val="22"/>
      </w:rPr>
    </w:tblStylePr>
    <w:tblStylePr w:type="firstCol">
      <w:rPr>
        <w:rFonts w:ascii="Liberation Sans" w:hAnsi="Liberation Sans"/>
        <w:i/>
        <w:color w:val="745700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45700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Liberation Sans" w:hAnsi="Liberation Sans"/>
        <w:color w:val="741111" w:themeColor="accent6" w:themeShade="95"/>
        <w:sz w:val="22"/>
      </w:rPr>
    </w:tblStylePr>
    <w:tblStylePr w:type="firstCol">
      <w:rPr>
        <w:rFonts w:ascii="Liberation Sans" w:hAnsi="Liberation Sans"/>
        <w:i/>
        <w:color w:val="741111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41111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Liberation Sans" w:hAnsi="Liberation Sans"/>
        <w:color w:val="0e5e01" w:themeColor="accent1" w:themeShade="95"/>
        <w:sz w:val="22"/>
      </w:rPr>
    </w:tblStylePr>
    <w:tblStylePr w:type="firstCol">
      <w:rPr>
        <w:rFonts w:ascii="Liberation Sans" w:hAnsi="Liberation Sans"/>
        <w:i/>
        <w:color w:val="0e5e0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0e5e0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0e5e0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Liberation Sans" w:hAnsi="Liberation Sans"/>
        <w:color w:val="0378ae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0378ae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Liberation Sans" w:hAnsi="Liberation Sans"/>
        <w:color w:val="ab3b04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ab3b04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b3b04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ab3b04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Liberation Sans" w:hAnsi="Liberation Sans"/>
        <w:color w:val="9104ab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104ab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Liberation Sans" w:hAnsi="Liberation Sans"/>
        <w:color w:val="ba870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ba870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a870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ba870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Liberation Sans" w:hAnsi="Liberation Sans"/>
        <w:color w:val="ad1a1a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d1a1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d1a1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ad1a1a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Footnote Text Char"/>
    <w:link w:val="844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3">
    <w:name w:val="Основной шрифт абзаца"/>
    <w:qFormat/>
  </w:style>
  <w:style w:type="character" w:styleId="834">
    <w:name w:val="Текст сноски Знак"/>
    <w:basedOn w:val="833"/>
    <w:qFormat/>
  </w:style>
  <w:style w:type="character" w:styleId="835">
    <w:name w:val="Символ сноски"/>
    <w:qFormat/>
    <w:rPr>
      <w:vertAlign w:val="superscript"/>
    </w:rPr>
  </w:style>
  <w:style w:type="character" w:styleId="836">
    <w:name w:val="Hyperlink"/>
    <w:rPr>
      <w:color w:val="01238e"/>
      <w:u w:val="single"/>
    </w:rPr>
  </w:style>
  <w:style w:type="character" w:styleId="837">
    <w:name w:val="Неразрешенное упоминание"/>
    <w:qFormat/>
    <w:rPr>
      <w:color w:val="605e5c"/>
      <w:shd w:val="clear" w:color="auto" w:fill="e1dfdd"/>
    </w:rPr>
  </w:style>
  <w:style w:type="paragraph" w:styleId="838">
    <w:name w:val="Заголовок"/>
    <w:basedOn w:val="832"/>
    <w:next w:val="839"/>
    <w:qFormat/>
    <w:pPr>
      <w:keepNext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839">
    <w:name w:val="Body Text"/>
    <w:basedOn w:val="832"/>
    <w:pPr>
      <w:spacing w:before="0" w:after="140" w:line="276" w:lineRule="auto"/>
    </w:pPr>
  </w:style>
  <w:style w:type="paragraph" w:styleId="840">
    <w:name w:val="List"/>
    <w:basedOn w:val="839"/>
    <w:rPr>
      <w:rFonts w:cs="Droid Sans"/>
    </w:rPr>
  </w:style>
  <w:style w:type="paragraph" w:styleId="841">
    <w:name w:val="Caption"/>
    <w:basedOn w:val="832"/>
    <w:link w:val="689"/>
    <w:qFormat/>
    <w:pPr>
      <w:spacing w:before="120" w:after="120"/>
      <w:suppressLineNumbers/>
    </w:pPr>
    <w:rPr>
      <w:rFonts w:cs="Droid Sans"/>
      <w:i/>
      <w:iCs/>
      <w:sz w:val="24"/>
      <w:szCs w:val="24"/>
    </w:rPr>
  </w:style>
  <w:style w:type="paragraph" w:styleId="842">
    <w:name w:val="Указатель"/>
    <w:basedOn w:val="832"/>
    <w:qFormat/>
    <w:pPr>
      <w:suppressLineNumbers/>
    </w:pPr>
    <w:rPr>
      <w:rFonts w:cs="Droid Sans"/>
    </w:rPr>
  </w:style>
  <w:style w:type="paragraph" w:styleId="843">
    <w:name w:val="Текст выноски"/>
    <w:basedOn w:val="832"/>
    <w:qFormat/>
    <w:rPr>
      <w:rFonts w:ascii="Tahoma" w:hAnsi="Tahoma" w:cs="Tahoma"/>
      <w:sz w:val="16"/>
      <w:szCs w:val="16"/>
    </w:rPr>
  </w:style>
  <w:style w:type="paragraph" w:styleId="844">
    <w:name w:val="footnote text"/>
    <w:basedOn w:val="832"/>
    <w:rPr>
      <w:sz w:val="20"/>
      <w:szCs w:val="20"/>
    </w:rPr>
  </w:style>
  <w:style w:type="paragraph" w:styleId="845">
    <w:name w:val="Содержимое таблицы"/>
    <w:basedOn w:val="832"/>
    <w:qFormat/>
    <w:pPr>
      <w:widowControl w:val="off"/>
      <w:suppressLineNumbers/>
    </w:pPr>
  </w:style>
  <w:style w:type="paragraph" w:styleId="846">
    <w:name w:val="Заголовок таблицы"/>
    <w:basedOn w:val="845"/>
    <w:qFormat/>
    <w:pPr>
      <w:jc w:val="center"/>
      <w:suppressLineNumbers/>
    </w:pPr>
    <w:rPr>
      <w:b/>
      <w:bCs/>
    </w:rPr>
  </w:style>
  <w:style w:type="character" w:styleId="847" w:default="1">
    <w:name w:val="Default Paragraph Font"/>
    <w:uiPriority w:val="1"/>
    <w:semiHidden/>
    <w:unhideWhenUsed/>
  </w:style>
  <w:style w:type="numbering" w:styleId="848" w:default="1">
    <w:name w:val="No List"/>
    <w:uiPriority w:val="99"/>
    <w:semiHidden/>
    <w:unhideWhenUsed/>
  </w:style>
  <w:style w:type="table" w:styleId="849" w:default="1">
    <w:name w:val="Normal Table"/>
    <w:uiPriority w:val="99"/>
    <w:semiHidden/>
    <w:unhideWhenUsed/>
    <w:tblPr/>
  </w:style>
  <w:style w:type="paragraph" w:styleId="850" w:customStyle="1">
    <w:name w:val="Normal (Web)"/>
    <w:basedOn w:val="738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19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Template>Normal_x005F_x0000_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</dc:title>
  <dc:subject/>
  <dc:creator>Shestakova</dc:creator>
  <dc:description/>
  <dc:language>ru-RU</dc:language>
  <cp:lastModifiedBy>UEM</cp:lastModifiedBy>
  <cp:revision>25</cp:revision>
  <dcterms:created xsi:type="dcterms:W3CDTF">2022-03-22T16:59:00Z</dcterms:created>
  <dcterms:modified xsi:type="dcterms:W3CDTF">2026-05-15T11:39:30Z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